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雲林縣111年度家庭教育中心</w:t>
      </w:r>
    </w:p>
    <w:p w:rsidR="00000000" w:rsidDel="00000000" w:rsidP="00000000" w:rsidRDefault="00000000" w:rsidRPr="00000000" w14:paraId="00000002">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多元型態家庭的認識與尊重研習性別統計</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前言</w:t>
      </w:r>
    </w:p>
    <w:p w:rsidR="00000000" w:rsidDel="00000000" w:rsidP="00000000" w:rsidRDefault="00000000" w:rsidRPr="00000000" w14:paraId="0000000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highlight w:val="white"/>
          <w:rtl w:val="0"/>
        </w:rPr>
        <w:t xml:space="preserve">111年度推展家庭教育實施計畫之性別平等教育及社區婦女教育中多元型態家庭的認識與尊重研習活動，目標</w:t>
      </w:r>
      <w:r w:rsidDel="00000000" w:rsidR="00000000" w:rsidRPr="00000000">
        <w:rPr>
          <w:rFonts w:ascii="DFKai-SB" w:cs="DFKai-SB" w:eastAsia="DFKai-SB" w:hAnsi="DFKai-SB"/>
          <w:sz w:val="28"/>
          <w:szCs w:val="28"/>
          <w:rtl w:val="0"/>
        </w:rPr>
        <w:t xml:space="preserve">為促進民眾對多元性別及多元家庭(含同性婚姻、單親、非婚同居家庭等)之認識與接受度，</w:t>
      </w:r>
      <w:r w:rsidDel="00000000" w:rsidR="00000000" w:rsidRPr="00000000">
        <w:rPr>
          <w:rFonts w:ascii="DFKai-SB" w:cs="DFKai-SB" w:eastAsia="DFKai-SB" w:hAnsi="DFKai-SB"/>
          <w:sz w:val="28"/>
          <w:szCs w:val="28"/>
          <w:highlight w:val="white"/>
          <w:rtl w:val="0"/>
        </w:rPr>
        <w:t xml:space="preserve">增進社會大眾更加瞭解多元性別樣態之生活處境，認識並支持多元家庭型態成員（含單親、同性婚姻、跨國婚姻、隔代教養等各類型家庭）</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研習活動辦理概述</w:t>
      </w:r>
    </w:p>
    <w:p w:rsidR="00000000" w:rsidDel="00000000" w:rsidP="00000000" w:rsidRDefault="00000000" w:rsidRPr="00000000" w14:paraId="0000000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本縣家庭教育中心依計畫，分別於111年6月10日至8月4日辦理共7場次的研習活動，承辦單位為縣轄內鄉鎮農會、社區發展協會及陸軍砲兵測考中心。。</w:t>
      </w:r>
    </w:p>
    <w:p w:rsidR="00000000" w:rsidDel="00000000" w:rsidP="00000000" w:rsidRDefault="00000000" w:rsidRPr="00000000" w14:paraId="00000007">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叁、性別統計</w:t>
      </w:r>
    </w:p>
    <w:p w:rsidR="00000000" w:rsidDel="00000000" w:rsidP="00000000" w:rsidRDefault="00000000" w:rsidRPr="00000000" w14:paraId="0000000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7場次共有學員合計243人次參加，其中男性114人次，女性128人次，其他1人次，比例如下表。</w:t>
      </w:r>
    </w:p>
    <w:tbl>
      <w:tblPr>
        <w:tblStyle w:val="Table1"/>
        <w:tblW w:w="39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276"/>
        <w:gridCol w:w="1275"/>
        <w:tblGridChange w:id="0">
          <w:tblGrid>
            <w:gridCol w:w="1413"/>
            <w:gridCol w:w="1276"/>
            <w:gridCol w:w="1275"/>
          </w:tblGrid>
        </w:tblGridChange>
      </w:tblGrid>
      <w:tr>
        <w:trPr>
          <w:cantSplit w:val="0"/>
          <w:tblHeader w:val="0"/>
        </w:trPr>
        <w:tc>
          <w:tcPr/>
          <w:p w:rsidR="00000000" w:rsidDel="00000000" w:rsidP="00000000" w:rsidRDefault="00000000" w:rsidRPr="00000000" w14:paraId="0000000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男性</w:t>
            </w:r>
          </w:p>
        </w:tc>
        <w:tc>
          <w:tcPr/>
          <w:p w:rsidR="00000000" w:rsidDel="00000000" w:rsidP="00000000" w:rsidRDefault="00000000" w:rsidRPr="00000000" w14:paraId="0000000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女性</w:t>
            </w:r>
          </w:p>
        </w:tc>
        <w:tc>
          <w:tcPr/>
          <w:p w:rsidR="00000000" w:rsidDel="00000000" w:rsidP="00000000" w:rsidRDefault="00000000" w:rsidRPr="00000000" w14:paraId="0000000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p>
        </w:tc>
      </w:tr>
      <w:tr>
        <w:trPr>
          <w:cantSplit w:val="0"/>
          <w:tblHeader w:val="0"/>
        </w:trPr>
        <w:tc>
          <w:tcPr/>
          <w:p w:rsidR="00000000" w:rsidDel="00000000" w:rsidP="00000000" w:rsidRDefault="00000000" w:rsidRPr="00000000" w14:paraId="0000000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46.9%</w:t>
            </w:r>
          </w:p>
        </w:tc>
        <w:tc>
          <w:tcPr/>
          <w:p w:rsidR="00000000" w:rsidDel="00000000" w:rsidP="00000000" w:rsidRDefault="00000000" w:rsidRPr="00000000" w14:paraId="0000000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52.6%</w:t>
            </w:r>
          </w:p>
        </w:tc>
        <w:tc>
          <w:tcPr/>
          <w:p w:rsidR="00000000" w:rsidDel="00000000" w:rsidP="00000000" w:rsidRDefault="00000000" w:rsidRPr="00000000" w14:paraId="0000000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0.5%</w:t>
            </w:r>
          </w:p>
        </w:tc>
      </w:tr>
    </w:tbl>
    <w:p w:rsidR="00000000" w:rsidDel="00000000" w:rsidP="00000000" w:rsidRDefault="00000000" w:rsidRPr="00000000" w14:paraId="0000000F">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男性與女性及其他所佔總人數的百分比分別為男性46.9%，女性52.6%，其他0.5%，男性與女性比例相差約6%，且首次有其他項的性別選項數據呈現。</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81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