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111年媒體素養暨自媒體經營訓練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b w:val="1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sz w:val="32"/>
          <w:szCs w:val="32"/>
          <w:rtl w:val="0"/>
        </w:rPr>
        <w:t xml:space="preserve">學員性別統計</w:t>
      </w:r>
    </w:p>
    <w:p w:rsidR="00000000" w:rsidDel="00000000" w:rsidP="00000000" w:rsidRDefault="00000000" w:rsidRPr="00000000" w14:paraId="00000003">
      <w:pPr>
        <w:spacing w:line="4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111年媒體素養暨自媒體經營訓練參與各別課程學員人數，女性多於男性，總人數為249位，其中男性為67位，女性為182位。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114300" distR="114300">
            <wp:extent cx="5288280" cy="3093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3093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808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"/>
        <w:gridCol w:w="2362"/>
        <w:gridCol w:w="2363"/>
        <w:gridCol w:w="2363"/>
        <w:tblGridChange w:id="0">
          <w:tblGrid>
            <w:gridCol w:w="992"/>
            <w:gridCol w:w="2362"/>
            <w:gridCol w:w="2363"/>
            <w:gridCol w:w="236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年度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學員總人數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男性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女性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249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67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182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