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6F6B" w14:textId="77777777" w:rsidR="003055BC" w:rsidRPr="0021702E" w:rsidRDefault="003055BC" w:rsidP="003055BC">
      <w:pPr>
        <w:jc w:val="center"/>
        <w:rPr>
          <w:rFonts w:ascii="標楷體" w:eastAsia="標楷體" w:hAnsi="標楷體" w:hint="eastAsia"/>
          <w:sz w:val="32"/>
          <w:szCs w:val="30"/>
        </w:rPr>
      </w:pPr>
      <w:r w:rsidRPr="0021702E">
        <w:rPr>
          <w:rFonts w:ascii="標楷體" w:eastAsia="標楷體" w:hAnsi="標楷體" w:hint="eastAsia"/>
          <w:sz w:val="32"/>
          <w:szCs w:val="30"/>
        </w:rPr>
        <w:t>雲林縣參與社區照顧關懷照顧據點長輩性別統計及分析</w:t>
      </w:r>
    </w:p>
    <w:p w14:paraId="52FF3FAD" w14:textId="77777777" w:rsidR="003055BC" w:rsidRPr="0021702E" w:rsidRDefault="003055BC" w:rsidP="003055BC">
      <w:pPr>
        <w:pStyle w:val="ListParagraph"/>
        <w:spacing w:afterLines="50" w:after="180" w:line="400" w:lineRule="exact"/>
        <w:ind w:firstLineChars="200" w:firstLine="560"/>
        <w:jc w:val="both"/>
        <w:outlineLvl w:val="0"/>
        <w:rPr>
          <w:rFonts w:ascii="標楷體" w:hAnsi="標楷體" w:cs="新細明體" w:hint="eastAsia"/>
          <w:sz w:val="28"/>
          <w:szCs w:val="30"/>
        </w:rPr>
      </w:pPr>
      <w:r w:rsidRPr="0021702E">
        <w:rPr>
          <w:rFonts w:ascii="標楷體" w:hAnsi="標楷體" w:cs="新細明體" w:hint="eastAsia"/>
          <w:sz w:val="28"/>
          <w:szCs w:val="30"/>
        </w:rPr>
        <w:t>我國自82 年進入世界衛生組織(WHO)定義1的高齡社會，65 歲以上老年人口所占比率持續攀升，在107 年3 月底已達14.05％，正式進入高齡化社會，由高齡社會邁入高齡化社會約為25 年；依據國家發展委員會「中華民國人口推估（2018 至2065 年）」報告中推估結果之資料顯示，我國預估115年將邁入老年人口超過20％的「超高齡社會」，屆時平均每5 個人之中就有1 位是老人，而由高齡化社會邁入超高齡社會更縮短為8 年，顯見我國人口老化的歷程將愈來愈快。</w:t>
      </w:r>
    </w:p>
    <w:p w14:paraId="253AA797" w14:textId="77777777" w:rsidR="003055BC" w:rsidRPr="0021702E" w:rsidRDefault="003055BC" w:rsidP="003055BC">
      <w:pPr>
        <w:pStyle w:val="ListParagraph"/>
        <w:numPr>
          <w:ilvl w:val="0"/>
          <w:numId w:val="1"/>
        </w:numPr>
        <w:spacing w:afterLines="50" w:after="180" w:line="400" w:lineRule="exact"/>
        <w:ind w:leftChars="0"/>
        <w:jc w:val="both"/>
        <w:outlineLvl w:val="0"/>
        <w:rPr>
          <w:rFonts w:ascii="標楷體" w:hAnsi="標楷體" w:cs="新細明體" w:hint="eastAsia"/>
          <w:sz w:val="28"/>
          <w:szCs w:val="30"/>
        </w:rPr>
      </w:pPr>
      <w:r w:rsidRPr="0021702E">
        <w:rPr>
          <w:rFonts w:ascii="標楷體" w:hAnsi="標楷體" w:cs="新細明體" w:hint="eastAsia"/>
          <w:sz w:val="28"/>
          <w:szCs w:val="30"/>
        </w:rPr>
        <w:t>參與社區照顧關懷據點性別統計</w:t>
      </w:r>
    </w:p>
    <w:p w14:paraId="563C1A3B" w14:textId="77777777" w:rsidR="003055BC" w:rsidRPr="0021702E" w:rsidRDefault="003055BC" w:rsidP="003055BC">
      <w:pPr>
        <w:pStyle w:val="ListParagraph"/>
        <w:spacing w:afterLines="50" w:after="180" w:line="400" w:lineRule="exact"/>
        <w:ind w:firstLineChars="200" w:firstLine="560"/>
        <w:jc w:val="both"/>
        <w:outlineLvl w:val="0"/>
        <w:rPr>
          <w:rFonts w:ascii="標楷體" w:hAnsi="標楷體" w:cs="新細明體" w:hint="eastAsia"/>
          <w:sz w:val="28"/>
          <w:szCs w:val="30"/>
        </w:rPr>
      </w:pPr>
      <w:r w:rsidRPr="0021702E">
        <w:rPr>
          <w:rFonts w:ascii="標楷體" w:hAnsi="標楷體" w:hint="eastAsia"/>
          <w:sz w:val="28"/>
          <w:szCs w:val="28"/>
        </w:rPr>
        <w:t>雲林縣由於人口結構高齡化，</w:t>
      </w:r>
      <w:proofErr w:type="gramStart"/>
      <w:r w:rsidRPr="0021702E">
        <w:rPr>
          <w:rFonts w:ascii="標楷體" w:hAnsi="標楷體" w:hint="eastAsia"/>
          <w:sz w:val="28"/>
          <w:szCs w:val="28"/>
        </w:rPr>
        <w:t>平均餘命延長</w:t>
      </w:r>
      <w:proofErr w:type="gramEnd"/>
      <w:r w:rsidRPr="0021702E">
        <w:rPr>
          <w:rFonts w:ascii="標楷體" w:hAnsi="標楷體" w:hint="eastAsia"/>
          <w:sz w:val="28"/>
          <w:szCs w:val="28"/>
        </w:rPr>
        <w:t>，青壯年人</w:t>
      </w:r>
      <w:r>
        <w:rPr>
          <w:rFonts w:ascii="標楷體" w:hAnsi="標楷體" w:hint="eastAsia"/>
          <w:sz w:val="28"/>
          <w:szCs w:val="28"/>
        </w:rPr>
        <w:t>口外流嚴重，老人照顧需求相對增加。為面對雲林縣人口老化的問題，本</w:t>
      </w:r>
      <w:r w:rsidRPr="0021702E">
        <w:rPr>
          <w:rFonts w:ascii="標楷體" w:hAnsi="標楷體" w:hint="eastAsia"/>
          <w:sz w:val="28"/>
          <w:szCs w:val="28"/>
        </w:rPr>
        <w:t>府積極推動長照2.0服務，目前在社區整體照顧服務體系大有斬獲，截至109年12月底有140處社區照顧關懷據點，提供給在地的長輩多元的服務。截至110年2月底關懷訪視服務5萬3,158人次、電話問安諮詢及轉</w:t>
      </w:r>
      <w:proofErr w:type="gramStart"/>
      <w:r w:rsidRPr="0021702E">
        <w:rPr>
          <w:rFonts w:ascii="標楷體" w:hAnsi="標楷體" w:hint="eastAsia"/>
          <w:sz w:val="28"/>
          <w:szCs w:val="28"/>
        </w:rPr>
        <w:t>介</w:t>
      </w:r>
      <w:proofErr w:type="gramEnd"/>
      <w:r w:rsidRPr="0021702E">
        <w:rPr>
          <w:rFonts w:ascii="標楷體" w:hAnsi="標楷體" w:hint="eastAsia"/>
          <w:sz w:val="28"/>
          <w:szCs w:val="28"/>
        </w:rPr>
        <w:t>服務4萬8,523人次、餐飲服務49萬4,589人次、健康促進活動服務46萬1,517人次、轉</w:t>
      </w:r>
      <w:proofErr w:type="gramStart"/>
      <w:r w:rsidRPr="0021702E">
        <w:rPr>
          <w:rFonts w:ascii="標楷體" w:hAnsi="標楷體" w:hint="eastAsia"/>
          <w:sz w:val="28"/>
          <w:szCs w:val="28"/>
        </w:rPr>
        <w:t>介</w:t>
      </w:r>
      <w:proofErr w:type="gramEnd"/>
      <w:r w:rsidRPr="0021702E">
        <w:rPr>
          <w:rFonts w:ascii="標楷體" w:hAnsi="標楷體" w:hint="eastAsia"/>
          <w:sz w:val="28"/>
          <w:szCs w:val="28"/>
        </w:rPr>
        <w:t>長期照顧管理中心45人次。上述服務共有</w:t>
      </w:r>
      <w:r w:rsidRPr="0021702E">
        <w:rPr>
          <w:rFonts w:ascii="標楷體" w:hAnsi="標楷體" w:hint="eastAsia"/>
          <w:sz w:val="28"/>
          <w:szCs w:val="30"/>
        </w:rPr>
        <w:t>男性長輩有810,299人次、女性長輩有1,538,986人次接受本縣社區照顧關懷據點服務。</w:t>
      </w:r>
    </w:p>
    <w:p w14:paraId="5AC7231F" w14:textId="77777777" w:rsidR="003055BC" w:rsidRPr="00C85700" w:rsidRDefault="003055BC" w:rsidP="003055BC">
      <w:pPr>
        <w:pStyle w:val="ListParagraph"/>
        <w:spacing w:afterLines="50" w:after="180" w:line="400" w:lineRule="exact"/>
        <w:ind w:firstLineChars="200" w:firstLine="560"/>
        <w:jc w:val="both"/>
        <w:outlineLvl w:val="0"/>
        <w:rPr>
          <w:rFonts w:ascii="標楷體" w:hAnsi="標楷體" w:hint="eastAsia"/>
          <w:sz w:val="28"/>
          <w:szCs w:val="28"/>
        </w:rPr>
      </w:pPr>
      <w:r w:rsidRPr="00C85700">
        <w:rPr>
          <w:rFonts w:ascii="標楷體" w:hAnsi="標楷體" w:hint="eastAsia"/>
          <w:sz w:val="28"/>
          <w:szCs w:val="28"/>
        </w:rPr>
        <w:t>本縣截至109年底已有140處社區照顧關懷據點，共有2,349,285</w:t>
      </w:r>
      <w:r>
        <w:rPr>
          <w:rFonts w:ascii="標楷體" w:hAnsi="標楷體" w:hint="eastAsia"/>
          <w:sz w:val="28"/>
          <w:szCs w:val="28"/>
        </w:rPr>
        <w:t>人次長輩參與據點活動</w:t>
      </w:r>
      <w:r w:rsidRPr="00C85700">
        <w:rPr>
          <w:rFonts w:ascii="標楷體" w:hAnsi="標楷體" w:hint="eastAsia"/>
          <w:sz w:val="28"/>
          <w:szCs w:val="28"/>
        </w:rPr>
        <w:t>，統計各分別男性長輩有810,299人次、女性長輩有1,538,986人次。</w:t>
      </w:r>
    </w:p>
    <w:p w14:paraId="249B465D" w14:textId="77777777" w:rsidR="003055BC" w:rsidRPr="00C85700" w:rsidRDefault="003055BC" w:rsidP="003055BC">
      <w:pPr>
        <w:jc w:val="center"/>
        <w:rPr>
          <w:rFonts w:ascii="標楷體" w:eastAsia="標楷體" w:hAnsi="標楷體" w:hint="eastAsia"/>
          <w:sz w:val="28"/>
          <w:szCs w:val="32"/>
        </w:rPr>
      </w:pPr>
      <w:proofErr w:type="gramStart"/>
      <w:r w:rsidRPr="00C85700">
        <w:rPr>
          <w:rFonts w:ascii="標楷體" w:eastAsia="標楷體" w:hAnsi="標楷體" w:hint="eastAsia"/>
          <w:sz w:val="28"/>
          <w:szCs w:val="32"/>
        </w:rPr>
        <w:t>109</w:t>
      </w:r>
      <w:proofErr w:type="gramEnd"/>
      <w:r>
        <w:rPr>
          <w:rFonts w:ascii="標楷體" w:eastAsia="標楷體" w:hAnsi="標楷體" w:hint="eastAsia"/>
          <w:sz w:val="28"/>
          <w:szCs w:val="32"/>
        </w:rPr>
        <w:t>年度</w:t>
      </w:r>
      <w:r w:rsidRPr="00C85700">
        <w:rPr>
          <w:rFonts w:ascii="標楷體" w:eastAsia="標楷體" w:hAnsi="標楷體" w:hint="eastAsia"/>
          <w:sz w:val="28"/>
          <w:szCs w:val="32"/>
        </w:rPr>
        <w:t>社區照顧關懷據點參與長輩性別統計表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2052"/>
        <w:gridCol w:w="2052"/>
        <w:gridCol w:w="2052"/>
      </w:tblGrid>
      <w:tr w:rsidR="003055BC" w:rsidRPr="0021702E" w14:paraId="57AFAD8E" w14:textId="77777777" w:rsidTr="00C45973">
        <w:trPr>
          <w:trHeight w:val="70"/>
          <w:jc w:val="center"/>
        </w:trPr>
        <w:tc>
          <w:tcPr>
            <w:tcW w:w="2370" w:type="dxa"/>
            <w:tcBorders>
              <w:tl2br w:val="single" w:sz="4" w:space="0" w:color="auto"/>
            </w:tcBorders>
            <w:shd w:val="clear" w:color="auto" w:fill="FFFFFF"/>
          </w:tcPr>
          <w:p w14:paraId="73E7190D" w14:textId="77777777" w:rsidR="003055BC" w:rsidRPr="0021702E" w:rsidRDefault="003055BC" w:rsidP="00C45973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2052" w:type="dxa"/>
            <w:shd w:val="clear" w:color="auto" w:fill="C6D9F1"/>
          </w:tcPr>
          <w:p w14:paraId="03B8FB91" w14:textId="77777777" w:rsidR="003055BC" w:rsidRPr="0021702E" w:rsidRDefault="003055BC" w:rsidP="00C45973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30"/>
                <w:szCs w:val="30"/>
              </w:rPr>
              <w:t>男性</w:t>
            </w:r>
          </w:p>
        </w:tc>
        <w:tc>
          <w:tcPr>
            <w:tcW w:w="2052" w:type="dxa"/>
            <w:shd w:val="clear" w:color="auto" w:fill="C6D9F1"/>
          </w:tcPr>
          <w:p w14:paraId="6A979641" w14:textId="77777777" w:rsidR="003055BC" w:rsidRPr="0021702E" w:rsidRDefault="003055BC" w:rsidP="00C45973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30"/>
                <w:szCs w:val="30"/>
              </w:rPr>
              <w:t>女性</w:t>
            </w:r>
          </w:p>
        </w:tc>
        <w:tc>
          <w:tcPr>
            <w:tcW w:w="2052" w:type="dxa"/>
            <w:shd w:val="clear" w:color="auto" w:fill="C6D9F1"/>
          </w:tcPr>
          <w:p w14:paraId="546C3EBD" w14:textId="77777777" w:rsidR="003055BC" w:rsidRPr="0021702E" w:rsidRDefault="003055BC" w:rsidP="00C45973">
            <w:pPr>
              <w:widowControl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30"/>
                <w:szCs w:val="30"/>
              </w:rPr>
              <w:t>合計</w:t>
            </w:r>
          </w:p>
        </w:tc>
      </w:tr>
      <w:tr w:rsidR="003055BC" w:rsidRPr="0021702E" w14:paraId="3ABCF5AE" w14:textId="77777777" w:rsidTr="00C45973">
        <w:trPr>
          <w:trHeight w:val="740"/>
          <w:jc w:val="center"/>
        </w:trPr>
        <w:tc>
          <w:tcPr>
            <w:tcW w:w="2370" w:type="dxa"/>
            <w:shd w:val="clear" w:color="auto" w:fill="FDE9D9"/>
          </w:tcPr>
          <w:p w14:paraId="09A1F2B6" w14:textId="77777777" w:rsidR="003055BC" w:rsidRPr="0021702E" w:rsidRDefault="003055BC" w:rsidP="00C45973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30"/>
                <w:szCs w:val="30"/>
              </w:rPr>
              <w:t>人次</w:t>
            </w:r>
          </w:p>
        </w:tc>
        <w:tc>
          <w:tcPr>
            <w:tcW w:w="2052" w:type="dxa"/>
            <w:shd w:val="clear" w:color="auto" w:fill="auto"/>
          </w:tcPr>
          <w:p w14:paraId="24E8E698" w14:textId="77777777" w:rsidR="003055BC" w:rsidRPr="0021702E" w:rsidRDefault="003055BC" w:rsidP="00C45973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28"/>
                <w:szCs w:val="30"/>
              </w:rPr>
              <w:t>810,299</w:t>
            </w:r>
          </w:p>
        </w:tc>
        <w:tc>
          <w:tcPr>
            <w:tcW w:w="2052" w:type="dxa"/>
            <w:shd w:val="clear" w:color="auto" w:fill="auto"/>
          </w:tcPr>
          <w:p w14:paraId="15E30AB8" w14:textId="77777777" w:rsidR="003055BC" w:rsidRPr="0021702E" w:rsidRDefault="003055BC" w:rsidP="00C45973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28"/>
                <w:szCs w:val="30"/>
              </w:rPr>
              <w:t>1,538,986</w:t>
            </w:r>
          </w:p>
        </w:tc>
        <w:tc>
          <w:tcPr>
            <w:tcW w:w="2052" w:type="dxa"/>
            <w:shd w:val="clear" w:color="auto" w:fill="auto"/>
          </w:tcPr>
          <w:p w14:paraId="421F02D8" w14:textId="77777777" w:rsidR="003055BC" w:rsidRPr="0021702E" w:rsidRDefault="003055BC" w:rsidP="00C45973">
            <w:pPr>
              <w:widowControl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28"/>
                <w:szCs w:val="30"/>
              </w:rPr>
              <w:t>2,349,285</w:t>
            </w:r>
          </w:p>
        </w:tc>
      </w:tr>
      <w:tr w:rsidR="003055BC" w:rsidRPr="0021702E" w14:paraId="5772E2B6" w14:textId="77777777" w:rsidTr="00C45973">
        <w:trPr>
          <w:trHeight w:val="740"/>
          <w:jc w:val="center"/>
        </w:trPr>
        <w:tc>
          <w:tcPr>
            <w:tcW w:w="2370" w:type="dxa"/>
            <w:shd w:val="clear" w:color="auto" w:fill="FDE9D9"/>
          </w:tcPr>
          <w:p w14:paraId="7E29EC8C" w14:textId="77777777" w:rsidR="003055BC" w:rsidRPr="0021702E" w:rsidRDefault="003055BC" w:rsidP="00C45973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30"/>
                <w:szCs w:val="30"/>
              </w:rPr>
              <w:t>百分比</w:t>
            </w:r>
          </w:p>
        </w:tc>
        <w:tc>
          <w:tcPr>
            <w:tcW w:w="2052" w:type="dxa"/>
            <w:shd w:val="clear" w:color="auto" w:fill="auto"/>
          </w:tcPr>
          <w:p w14:paraId="2964BCFC" w14:textId="77777777" w:rsidR="003055BC" w:rsidRPr="0021702E" w:rsidRDefault="003055BC" w:rsidP="00C45973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30"/>
                <w:szCs w:val="30"/>
              </w:rPr>
              <w:t>34%</w:t>
            </w:r>
          </w:p>
        </w:tc>
        <w:tc>
          <w:tcPr>
            <w:tcW w:w="2052" w:type="dxa"/>
            <w:shd w:val="clear" w:color="auto" w:fill="auto"/>
          </w:tcPr>
          <w:p w14:paraId="18B2C86C" w14:textId="77777777" w:rsidR="003055BC" w:rsidRPr="0021702E" w:rsidRDefault="003055BC" w:rsidP="00C45973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30"/>
                <w:szCs w:val="30"/>
              </w:rPr>
              <w:t>66%</w:t>
            </w:r>
          </w:p>
        </w:tc>
        <w:tc>
          <w:tcPr>
            <w:tcW w:w="2052" w:type="dxa"/>
            <w:shd w:val="clear" w:color="auto" w:fill="auto"/>
          </w:tcPr>
          <w:p w14:paraId="1DBF858B" w14:textId="77777777" w:rsidR="003055BC" w:rsidRPr="0021702E" w:rsidRDefault="003055BC" w:rsidP="00C45973">
            <w:pPr>
              <w:widowControl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1702E">
              <w:rPr>
                <w:rFonts w:ascii="標楷體" w:eastAsia="標楷體" w:hAnsi="標楷體" w:hint="eastAsia"/>
                <w:sz w:val="30"/>
                <w:szCs w:val="30"/>
              </w:rPr>
              <w:t>100%</w:t>
            </w:r>
          </w:p>
        </w:tc>
      </w:tr>
    </w:tbl>
    <w:p w14:paraId="6D704950" w14:textId="77777777" w:rsidR="003055BC" w:rsidRPr="0021702E" w:rsidRDefault="003055BC" w:rsidP="003055BC">
      <w:pPr>
        <w:pStyle w:val="ListParagraph"/>
        <w:spacing w:line="400" w:lineRule="exact"/>
        <w:ind w:firstLineChars="200" w:firstLine="560"/>
        <w:jc w:val="right"/>
        <w:outlineLvl w:val="0"/>
        <w:rPr>
          <w:rFonts w:ascii="標楷體" w:hAnsi="標楷體" w:hint="eastAsia"/>
          <w:sz w:val="28"/>
          <w:szCs w:val="24"/>
        </w:rPr>
      </w:pPr>
      <w:r w:rsidRPr="0021702E">
        <w:rPr>
          <w:rFonts w:ascii="標楷體" w:hAnsi="標楷體" w:hint="eastAsia"/>
          <w:sz w:val="28"/>
          <w:szCs w:val="24"/>
          <w:lang w:eastAsia="zh-HK"/>
        </w:rPr>
        <w:t>資料來源：雲林縣</w:t>
      </w:r>
      <w:r w:rsidRPr="0021702E">
        <w:rPr>
          <w:rFonts w:ascii="標楷體" w:hAnsi="標楷體" w:hint="eastAsia"/>
          <w:sz w:val="28"/>
          <w:szCs w:val="24"/>
        </w:rPr>
        <w:t>政府社會</w:t>
      </w:r>
      <w:r w:rsidRPr="0021702E">
        <w:rPr>
          <w:rFonts w:ascii="標楷體" w:hAnsi="標楷體" w:hint="eastAsia"/>
          <w:sz w:val="28"/>
          <w:szCs w:val="24"/>
          <w:lang w:eastAsia="zh-HK"/>
        </w:rPr>
        <w:t>處</w:t>
      </w:r>
    </w:p>
    <w:p w14:paraId="07B9832B" w14:textId="77777777" w:rsidR="003055BC" w:rsidRPr="00C85700" w:rsidRDefault="003055BC" w:rsidP="003055BC">
      <w:pPr>
        <w:pStyle w:val="ListParagraph"/>
        <w:spacing w:line="400" w:lineRule="exact"/>
        <w:ind w:leftChars="0" w:left="0"/>
        <w:jc w:val="both"/>
        <w:outlineLvl w:val="0"/>
        <w:rPr>
          <w:rFonts w:ascii="標楷體" w:hAnsi="標楷體" w:hint="eastAsia"/>
          <w:sz w:val="28"/>
          <w:szCs w:val="24"/>
        </w:rPr>
      </w:pPr>
    </w:p>
    <w:p w14:paraId="72E9BAE5" w14:textId="77777777" w:rsidR="003055BC" w:rsidRPr="0021702E" w:rsidRDefault="003055BC" w:rsidP="003055BC">
      <w:pPr>
        <w:pStyle w:val="ListParagraph"/>
        <w:spacing w:line="400" w:lineRule="exact"/>
        <w:ind w:firstLineChars="200" w:firstLine="560"/>
        <w:jc w:val="both"/>
        <w:outlineLvl w:val="0"/>
        <w:rPr>
          <w:rFonts w:ascii="標楷體" w:hAnsi="標楷體" w:hint="eastAsia"/>
          <w:sz w:val="28"/>
          <w:szCs w:val="24"/>
        </w:rPr>
      </w:pPr>
    </w:p>
    <w:p w14:paraId="0BB3DED4" w14:textId="77777777" w:rsidR="003055BC" w:rsidRPr="0021702E" w:rsidRDefault="003055BC" w:rsidP="003055BC">
      <w:pPr>
        <w:pStyle w:val="ListParagraph"/>
        <w:spacing w:line="400" w:lineRule="exact"/>
        <w:ind w:firstLineChars="200" w:firstLine="560"/>
        <w:jc w:val="both"/>
        <w:outlineLvl w:val="0"/>
        <w:rPr>
          <w:rFonts w:ascii="標楷體" w:hAnsi="標楷體" w:hint="eastAsia"/>
          <w:sz w:val="28"/>
          <w:szCs w:val="24"/>
        </w:rPr>
      </w:pPr>
    </w:p>
    <w:p w14:paraId="0E781368" w14:textId="77777777" w:rsidR="003055BC" w:rsidRPr="0021702E" w:rsidRDefault="003055BC" w:rsidP="003055BC">
      <w:pPr>
        <w:pStyle w:val="ListParagraph"/>
        <w:numPr>
          <w:ilvl w:val="0"/>
          <w:numId w:val="1"/>
        </w:numPr>
        <w:spacing w:afterLines="50" w:after="180" w:line="400" w:lineRule="exact"/>
        <w:ind w:leftChars="0"/>
        <w:jc w:val="both"/>
        <w:outlineLvl w:val="0"/>
        <w:rPr>
          <w:rFonts w:ascii="標楷體" w:hAnsi="標楷體" w:hint="eastAsia"/>
          <w:sz w:val="28"/>
          <w:szCs w:val="24"/>
        </w:rPr>
      </w:pPr>
      <w:r w:rsidRPr="0021702E">
        <w:rPr>
          <w:rFonts w:ascii="標楷體" w:hAnsi="標楷體" w:hint="eastAsia"/>
          <w:sz w:val="28"/>
          <w:szCs w:val="24"/>
          <w:lang w:eastAsia="zh-HK"/>
        </w:rPr>
        <w:lastRenderedPageBreak/>
        <w:t>分析</w:t>
      </w:r>
    </w:p>
    <w:p w14:paraId="2F8D2C96" w14:textId="77777777" w:rsidR="003055BC" w:rsidRPr="0021702E" w:rsidRDefault="003055BC" w:rsidP="003055BC">
      <w:pPr>
        <w:pStyle w:val="ListParagraph"/>
        <w:spacing w:line="400" w:lineRule="exact"/>
        <w:ind w:firstLineChars="200" w:firstLine="560"/>
        <w:jc w:val="both"/>
        <w:outlineLvl w:val="0"/>
        <w:rPr>
          <w:rFonts w:ascii="標楷體" w:hAnsi="標楷體" w:hint="eastAsia"/>
          <w:sz w:val="28"/>
          <w:szCs w:val="24"/>
        </w:rPr>
      </w:pPr>
      <w:r w:rsidRPr="0021702E">
        <w:rPr>
          <w:rFonts w:ascii="標楷體" w:hAnsi="標楷體" w:hint="eastAsia"/>
          <w:sz w:val="28"/>
          <w:szCs w:val="24"/>
        </w:rPr>
        <w:t>在地老化</w:t>
      </w:r>
      <w:r w:rsidRPr="0021702E">
        <w:rPr>
          <w:rFonts w:ascii="標楷體" w:hAnsi="標楷體" w:hint="eastAsia"/>
          <w:sz w:val="28"/>
          <w:szCs w:val="24"/>
          <w:lang w:eastAsia="zh-HK"/>
        </w:rPr>
        <w:t>是老年化社會必須關注的焦點</w:t>
      </w:r>
      <w:r w:rsidRPr="0021702E">
        <w:rPr>
          <w:rFonts w:ascii="標楷體" w:hAnsi="標楷體" w:hint="eastAsia"/>
          <w:sz w:val="28"/>
          <w:szCs w:val="24"/>
        </w:rPr>
        <w:t>，</w:t>
      </w:r>
      <w:r w:rsidRPr="0021702E">
        <w:rPr>
          <w:rFonts w:ascii="標楷體" w:hAnsi="標楷體" w:hint="eastAsia"/>
          <w:sz w:val="28"/>
          <w:szCs w:val="24"/>
          <w:lang w:eastAsia="zh-HK"/>
        </w:rPr>
        <w:t>因此推動性別友善的</w:t>
      </w:r>
      <w:r w:rsidRPr="0021702E">
        <w:rPr>
          <w:rFonts w:ascii="標楷體" w:hAnsi="標楷體" w:hint="eastAsia"/>
          <w:sz w:val="28"/>
          <w:szCs w:val="24"/>
        </w:rPr>
        <w:t>課程參與環境，</w:t>
      </w:r>
      <w:r w:rsidRPr="0021702E">
        <w:rPr>
          <w:rFonts w:ascii="標楷體" w:hAnsi="標楷體" w:hint="eastAsia"/>
          <w:sz w:val="28"/>
          <w:szCs w:val="24"/>
          <w:lang w:eastAsia="zh-HK"/>
        </w:rPr>
        <w:t>讓兩性都能夠且願意共同</w:t>
      </w:r>
      <w:r w:rsidRPr="0021702E">
        <w:rPr>
          <w:rFonts w:ascii="標楷體" w:hAnsi="標楷體" w:hint="eastAsia"/>
          <w:sz w:val="28"/>
          <w:szCs w:val="24"/>
        </w:rPr>
        <w:t>參與本縣社區照顧關懷據點各種服務，是</w:t>
      </w:r>
      <w:r w:rsidRPr="0021702E">
        <w:rPr>
          <w:rFonts w:ascii="標楷體" w:hAnsi="標楷體" w:hint="eastAsia"/>
          <w:sz w:val="28"/>
          <w:szCs w:val="24"/>
          <w:lang w:eastAsia="zh-HK"/>
        </w:rPr>
        <w:t>非常重要</w:t>
      </w:r>
      <w:r w:rsidRPr="0021702E">
        <w:rPr>
          <w:rFonts w:ascii="標楷體" w:hAnsi="標楷體" w:hint="eastAsia"/>
          <w:sz w:val="28"/>
          <w:szCs w:val="24"/>
        </w:rPr>
        <w:t>的事情。</w:t>
      </w:r>
      <w:r w:rsidRPr="0021702E">
        <w:rPr>
          <w:rFonts w:ascii="標楷體" w:hAnsi="標楷體" w:hint="eastAsia"/>
          <w:sz w:val="28"/>
          <w:szCs w:val="24"/>
          <w:lang w:eastAsia="zh-HK"/>
        </w:rPr>
        <w:t>本縣</w:t>
      </w:r>
      <w:r w:rsidRPr="0021702E">
        <w:rPr>
          <w:rFonts w:ascii="標楷體" w:hAnsi="標楷體" w:hint="eastAsia"/>
          <w:sz w:val="28"/>
          <w:szCs w:val="24"/>
        </w:rPr>
        <w:t>社區照顧關懷據點</w:t>
      </w:r>
      <w:r w:rsidRPr="0021702E">
        <w:rPr>
          <w:rFonts w:ascii="標楷體" w:hAnsi="標楷體" w:hint="eastAsia"/>
          <w:sz w:val="28"/>
          <w:szCs w:val="24"/>
          <w:lang w:eastAsia="zh-HK"/>
        </w:rPr>
        <w:t>接受</w:t>
      </w:r>
      <w:r w:rsidRPr="0021702E">
        <w:rPr>
          <w:rFonts w:ascii="標楷體" w:hAnsi="標楷體" w:hint="eastAsia"/>
          <w:sz w:val="28"/>
          <w:szCs w:val="24"/>
        </w:rPr>
        <w:t>服務者</w:t>
      </w:r>
      <w:r w:rsidRPr="0021702E">
        <w:rPr>
          <w:rFonts w:ascii="標楷體" w:hAnsi="標楷體" w:hint="eastAsia"/>
          <w:sz w:val="28"/>
          <w:szCs w:val="24"/>
          <w:lang w:eastAsia="zh-HK"/>
        </w:rPr>
        <w:t>以女性</w:t>
      </w:r>
      <w:r w:rsidRPr="0021702E">
        <w:rPr>
          <w:rFonts w:ascii="標楷體" w:hAnsi="標楷體" w:hint="eastAsia"/>
          <w:sz w:val="28"/>
          <w:szCs w:val="24"/>
        </w:rPr>
        <w:t>長輩</w:t>
      </w:r>
      <w:r w:rsidRPr="0021702E">
        <w:rPr>
          <w:rFonts w:ascii="標楷體" w:hAnsi="標楷體" w:hint="eastAsia"/>
          <w:sz w:val="28"/>
          <w:szCs w:val="24"/>
          <w:lang w:eastAsia="zh-HK"/>
        </w:rPr>
        <w:t>居多</w:t>
      </w:r>
      <w:r w:rsidRPr="0021702E">
        <w:rPr>
          <w:rFonts w:ascii="標楷體" w:hAnsi="標楷體" w:hint="eastAsia"/>
          <w:sz w:val="28"/>
          <w:szCs w:val="24"/>
        </w:rPr>
        <w:t xml:space="preserve">。 </w:t>
      </w:r>
    </w:p>
    <w:p w14:paraId="55F44BFC" w14:textId="77777777" w:rsidR="003055BC" w:rsidRPr="00C85700" w:rsidRDefault="003055BC" w:rsidP="003055BC">
      <w:pPr>
        <w:pStyle w:val="ListParagraph"/>
        <w:spacing w:line="400" w:lineRule="exact"/>
        <w:ind w:firstLineChars="200" w:firstLine="560"/>
        <w:jc w:val="both"/>
        <w:outlineLvl w:val="0"/>
        <w:rPr>
          <w:rFonts w:ascii="標楷體" w:hAnsi="標楷體" w:hint="eastAsia"/>
          <w:sz w:val="28"/>
          <w:szCs w:val="28"/>
        </w:rPr>
      </w:pPr>
      <w:r w:rsidRPr="00C85700">
        <w:rPr>
          <w:rFonts w:ascii="標楷體" w:hAnsi="標楷體" w:hint="eastAsia"/>
          <w:sz w:val="28"/>
          <w:szCs w:val="28"/>
        </w:rPr>
        <w:t>根據</w:t>
      </w:r>
      <w:r w:rsidRPr="00C85700">
        <w:rPr>
          <w:sz w:val="28"/>
          <w:szCs w:val="28"/>
        </w:rPr>
        <w:t>高雄市老人研究發展中心</w:t>
      </w:r>
      <w:r w:rsidRPr="00C85700">
        <w:rPr>
          <w:sz w:val="28"/>
          <w:szCs w:val="28"/>
        </w:rPr>
        <w:t xml:space="preserve"> 98 </w:t>
      </w:r>
      <w:r w:rsidRPr="00C85700">
        <w:rPr>
          <w:sz w:val="28"/>
          <w:szCs w:val="28"/>
        </w:rPr>
        <w:t>年度專題計畫</w:t>
      </w:r>
      <w:r w:rsidRPr="00C85700">
        <w:rPr>
          <w:rFonts w:hint="eastAsia"/>
          <w:sz w:val="28"/>
          <w:szCs w:val="28"/>
        </w:rPr>
        <w:t>－</w:t>
      </w:r>
      <w:r w:rsidRPr="00C85700">
        <w:rPr>
          <w:sz w:val="28"/>
          <w:szCs w:val="28"/>
        </w:rPr>
        <w:t>高雄市社區照顧關懷據點老人參與服務現況</w:t>
      </w:r>
      <w:r w:rsidRPr="00C85700">
        <w:rPr>
          <w:rFonts w:hint="eastAsia"/>
          <w:sz w:val="28"/>
          <w:szCs w:val="28"/>
        </w:rPr>
        <w:t>之成果報告中提到</w:t>
      </w:r>
      <w:r w:rsidRPr="00C85700">
        <w:rPr>
          <w:rFonts w:ascii="標楷體" w:hAnsi="標楷體" w:hint="eastAsia"/>
          <w:sz w:val="28"/>
          <w:szCs w:val="28"/>
        </w:rPr>
        <w:t>，</w:t>
      </w:r>
      <w:r w:rsidRPr="00C85700">
        <w:rPr>
          <w:sz w:val="28"/>
          <w:szCs w:val="28"/>
        </w:rPr>
        <w:t>整體而言，女性長輩普遍對於各種社會品質有較好的感受，有可能是因為平日女性長輩參與社區活動的意願較高，有較多的機會與他人接觸，增進其社會關係</w:t>
      </w:r>
      <w:r w:rsidRPr="00C85700">
        <w:rPr>
          <w:rFonts w:hint="eastAsia"/>
          <w:sz w:val="28"/>
          <w:szCs w:val="28"/>
        </w:rPr>
        <w:t>，此處值得注意的是，本縣有較多的女性長輩參與社區照顧關懷據點提供之服務，其中一部分可用該研究之研究成果解釋；但因本縣為農業大縣，許多男性長輩平時需農忙，因此未能外出接受服務。另外，根據</w:t>
      </w:r>
      <w:r w:rsidRPr="00C85700">
        <w:rPr>
          <w:rFonts w:hint="eastAsia"/>
          <w:sz w:val="28"/>
          <w:szCs w:val="28"/>
        </w:rPr>
        <w:t>106</w:t>
      </w:r>
      <w:r w:rsidRPr="00C85700">
        <w:rPr>
          <w:rFonts w:hint="eastAsia"/>
          <w:sz w:val="28"/>
          <w:szCs w:val="28"/>
        </w:rPr>
        <w:t>年老年人口狀況調查報告顯示，</w:t>
      </w:r>
      <w:r w:rsidRPr="00C85700">
        <w:rPr>
          <w:sz w:val="28"/>
          <w:szCs w:val="28"/>
        </w:rPr>
        <w:t>男性認為健康狀況「良好」比率占</w:t>
      </w:r>
      <w:r w:rsidRPr="00C85700">
        <w:rPr>
          <w:sz w:val="28"/>
          <w:szCs w:val="28"/>
        </w:rPr>
        <w:t xml:space="preserve"> 48.65%</w:t>
      </w:r>
      <w:r w:rsidRPr="00C85700">
        <w:rPr>
          <w:sz w:val="28"/>
          <w:szCs w:val="28"/>
        </w:rPr>
        <w:t>，較女性</w:t>
      </w:r>
      <w:r w:rsidRPr="00C85700">
        <w:rPr>
          <w:sz w:val="28"/>
          <w:szCs w:val="28"/>
        </w:rPr>
        <w:t xml:space="preserve"> 43.67%</w:t>
      </w:r>
      <w:r w:rsidRPr="00C85700">
        <w:rPr>
          <w:sz w:val="28"/>
          <w:szCs w:val="28"/>
        </w:rPr>
        <w:t>高</w:t>
      </w:r>
      <w:r w:rsidRPr="00C85700">
        <w:rPr>
          <w:rFonts w:hint="eastAsia"/>
          <w:sz w:val="28"/>
          <w:szCs w:val="28"/>
        </w:rPr>
        <w:t>，俗話說「要活就要動」，女性長輩及可能因為自認身體狀態較不佳，因此更積極參與社區活動，以維持健康狀態。</w:t>
      </w:r>
    </w:p>
    <w:p w14:paraId="1813E60E" w14:textId="77777777" w:rsidR="003055BC" w:rsidRPr="0021702E" w:rsidRDefault="003055BC" w:rsidP="003055BC">
      <w:pPr>
        <w:pStyle w:val="ListParagraph"/>
        <w:spacing w:line="400" w:lineRule="exact"/>
        <w:ind w:firstLineChars="200" w:firstLine="560"/>
        <w:jc w:val="both"/>
        <w:outlineLvl w:val="0"/>
        <w:rPr>
          <w:rFonts w:ascii="標楷體" w:hAnsi="標楷體" w:hint="eastAsia"/>
          <w:sz w:val="28"/>
          <w:szCs w:val="24"/>
        </w:rPr>
      </w:pPr>
    </w:p>
    <w:p w14:paraId="4E6D62F4" w14:textId="77777777" w:rsidR="003055BC" w:rsidRPr="0021702E" w:rsidRDefault="003055BC" w:rsidP="003055BC">
      <w:pPr>
        <w:pStyle w:val="ListParagraph"/>
        <w:numPr>
          <w:ilvl w:val="0"/>
          <w:numId w:val="1"/>
        </w:numPr>
        <w:spacing w:afterLines="50" w:after="180" w:line="400" w:lineRule="exact"/>
        <w:ind w:leftChars="0"/>
        <w:jc w:val="both"/>
        <w:outlineLvl w:val="0"/>
        <w:rPr>
          <w:rFonts w:ascii="標楷體" w:hAnsi="標楷體" w:hint="eastAsia"/>
          <w:sz w:val="28"/>
        </w:rPr>
      </w:pPr>
      <w:r w:rsidRPr="0021702E">
        <w:rPr>
          <w:rFonts w:ascii="標楷體" w:hAnsi="標楷體" w:hint="eastAsia"/>
          <w:sz w:val="28"/>
          <w:lang w:eastAsia="zh-HK"/>
        </w:rPr>
        <w:t>建議</w:t>
      </w:r>
    </w:p>
    <w:p w14:paraId="557A0980" w14:textId="77777777" w:rsidR="003055BC" w:rsidRPr="0021702E" w:rsidRDefault="003055BC" w:rsidP="003055BC">
      <w:pPr>
        <w:pStyle w:val="ListParagraph"/>
        <w:spacing w:line="400" w:lineRule="exact"/>
        <w:ind w:firstLineChars="200" w:firstLine="560"/>
        <w:jc w:val="both"/>
        <w:outlineLvl w:val="0"/>
        <w:rPr>
          <w:rFonts w:ascii="標楷體" w:hAnsi="標楷體" w:hint="eastAsia"/>
          <w:sz w:val="28"/>
          <w:szCs w:val="24"/>
        </w:rPr>
      </w:pPr>
      <w:r w:rsidRPr="0021702E">
        <w:rPr>
          <w:rFonts w:ascii="標楷體" w:hAnsi="標楷體" w:hint="eastAsia"/>
          <w:sz w:val="28"/>
          <w:szCs w:val="24"/>
          <w:lang w:eastAsia="zh-HK"/>
        </w:rPr>
        <w:t>建議</w:t>
      </w:r>
      <w:r w:rsidRPr="0021702E">
        <w:rPr>
          <w:rFonts w:ascii="標楷體" w:hAnsi="標楷體" w:hint="eastAsia"/>
          <w:sz w:val="28"/>
          <w:szCs w:val="24"/>
        </w:rPr>
        <w:t>積極請各社區照顧關懷據點志工及工作人員提供外展服務，宣傳據點服務及參與優點</w:t>
      </w:r>
      <w:r w:rsidRPr="0021702E">
        <w:rPr>
          <w:rFonts w:ascii="標楷體" w:hAnsi="標楷體" w:hint="eastAsia"/>
          <w:sz w:val="28"/>
          <w:szCs w:val="24"/>
          <w:lang w:eastAsia="zh-HK"/>
        </w:rPr>
        <w:t>。</w:t>
      </w:r>
      <w:r>
        <w:rPr>
          <w:rFonts w:ascii="標楷體" w:hAnsi="標楷體" w:hint="eastAsia"/>
          <w:sz w:val="28"/>
          <w:szCs w:val="24"/>
        </w:rPr>
        <w:t>另外也建議縣府及</w:t>
      </w:r>
      <w:r w:rsidRPr="0021702E">
        <w:rPr>
          <w:rFonts w:ascii="標楷體" w:hAnsi="標楷體" w:hint="eastAsia"/>
          <w:sz w:val="28"/>
          <w:szCs w:val="24"/>
        </w:rPr>
        <w:t>委外輔導團隊輔導各據點設計性別友善健康促進課程，增近男性長輩參與動機。</w:t>
      </w:r>
    </w:p>
    <w:p w14:paraId="45CB4BB1" w14:textId="77777777" w:rsidR="003055BC" w:rsidRPr="0021702E" w:rsidRDefault="003055BC" w:rsidP="003055BC">
      <w:pPr>
        <w:rPr>
          <w:rFonts w:ascii="標楷體" w:eastAsia="標楷體" w:hAnsi="標楷體" w:hint="eastAsia"/>
          <w:sz w:val="30"/>
          <w:szCs w:val="30"/>
        </w:rPr>
      </w:pPr>
    </w:p>
    <w:p w14:paraId="23239720" w14:textId="77777777" w:rsidR="003055BC" w:rsidRPr="003E5664" w:rsidRDefault="003055BC" w:rsidP="003055BC">
      <w:pPr>
        <w:pStyle w:val="ListParagraph"/>
        <w:numPr>
          <w:ilvl w:val="0"/>
          <w:numId w:val="1"/>
        </w:numPr>
        <w:spacing w:afterLines="50" w:after="180" w:line="400" w:lineRule="exact"/>
        <w:ind w:leftChars="0"/>
        <w:jc w:val="both"/>
        <w:outlineLvl w:val="0"/>
        <w:rPr>
          <w:rFonts w:ascii="標楷體" w:hAnsi="標楷體" w:hint="eastAsia"/>
          <w:sz w:val="28"/>
          <w:szCs w:val="28"/>
        </w:rPr>
      </w:pPr>
      <w:r w:rsidRPr="003E5664">
        <w:rPr>
          <w:rFonts w:ascii="標楷體" w:hAnsi="標楷體" w:hint="eastAsia"/>
          <w:sz w:val="28"/>
          <w:szCs w:val="28"/>
        </w:rPr>
        <w:t>參考資料</w:t>
      </w:r>
    </w:p>
    <w:p w14:paraId="27696797" w14:textId="77777777" w:rsidR="003055BC" w:rsidRPr="003E5664" w:rsidRDefault="003055BC" w:rsidP="003055BC">
      <w:pPr>
        <w:pStyle w:val="ListParagraph"/>
        <w:numPr>
          <w:ilvl w:val="0"/>
          <w:numId w:val="2"/>
        </w:numPr>
        <w:spacing w:afterLines="50" w:after="180" w:line="400" w:lineRule="exact"/>
        <w:ind w:leftChars="0"/>
        <w:jc w:val="both"/>
        <w:outlineLvl w:val="0"/>
        <w:rPr>
          <w:rFonts w:ascii="標楷體" w:hAnsi="標楷體"/>
          <w:sz w:val="28"/>
          <w:szCs w:val="28"/>
        </w:rPr>
      </w:pPr>
      <w:r w:rsidRPr="003E5664">
        <w:rPr>
          <w:rFonts w:ascii="標楷體" w:hAnsi="標楷體" w:hint="eastAsia"/>
          <w:sz w:val="28"/>
          <w:szCs w:val="28"/>
        </w:rPr>
        <w:t>高雄市老人研究發展中心</w:t>
      </w:r>
      <w:r w:rsidRPr="003E5664">
        <w:rPr>
          <w:rFonts w:ascii="標楷體" w:hAnsi="標楷體"/>
          <w:sz w:val="28"/>
          <w:szCs w:val="28"/>
        </w:rPr>
        <w:t>98</w:t>
      </w:r>
      <w:r w:rsidRPr="003E5664">
        <w:rPr>
          <w:rFonts w:ascii="標楷體" w:hAnsi="標楷體" w:hint="eastAsia"/>
          <w:sz w:val="28"/>
          <w:szCs w:val="28"/>
        </w:rPr>
        <w:t>年度專題計畫-高雄市社區照顧關懷據點老人參與服務</w:t>
      </w:r>
      <w:proofErr w:type="gramStart"/>
      <w:r w:rsidRPr="003E5664">
        <w:rPr>
          <w:rFonts w:ascii="標楷體" w:hAnsi="標楷體" w:hint="eastAsia"/>
          <w:sz w:val="28"/>
          <w:szCs w:val="28"/>
        </w:rPr>
        <w:t>現況－以社會</w:t>
      </w:r>
      <w:proofErr w:type="gramEnd"/>
      <w:r w:rsidRPr="003E5664">
        <w:rPr>
          <w:rFonts w:ascii="標楷體" w:hAnsi="標楷體" w:hint="eastAsia"/>
          <w:sz w:val="28"/>
          <w:szCs w:val="28"/>
        </w:rPr>
        <w:t>品質觀點</w:t>
      </w:r>
    </w:p>
    <w:p w14:paraId="11B7D1D7" w14:textId="77777777" w:rsidR="003055BC" w:rsidRPr="003E5664" w:rsidRDefault="003055BC" w:rsidP="003055BC">
      <w:pPr>
        <w:pStyle w:val="ListParagraph"/>
        <w:numPr>
          <w:ilvl w:val="0"/>
          <w:numId w:val="2"/>
        </w:numPr>
        <w:spacing w:afterLines="50" w:after="180" w:line="400" w:lineRule="exact"/>
        <w:ind w:leftChars="0"/>
        <w:outlineLvl w:val="0"/>
        <w:rPr>
          <w:rFonts w:ascii="標楷體" w:hAnsi="標楷體"/>
          <w:sz w:val="28"/>
          <w:szCs w:val="28"/>
        </w:rPr>
      </w:pPr>
      <w:r w:rsidRPr="003E5664">
        <w:rPr>
          <w:rFonts w:ascii="標楷體" w:hAnsi="標楷體" w:hint="eastAsia"/>
          <w:sz w:val="28"/>
          <w:szCs w:val="28"/>
        </w:rPr>
        <w:t>衛生福利部統計處106老人狀況調查</w:t>
      </w:r>
      <w:r w:rsidRPr="003E5664">
        <w:rPr>
          <w:rFonts w:ascii="標楷體" w:hAnsi="標楷體"/>
          <w:sz w:val="28"/>
          <w:szCs w:val="28"/>
        </w:rPr>
        <w:t>https://dep.mohw.gov.tw/dos/cp-1767-38429-113.html</w:t>
      </w:r>
    </w:p>
    <w:p w14:paraId="1A476420" w14:textId="77777777" w:rsidR="00F347F2" w:rsidRPr="003055BC" w:rsidRDefault="003055BC"/>
    <w:sectPr w:rsidR="00F347F2" w:rsidRPr="003055BC" w:rsidSect="00187A02">
      <w:pgSz w:w="11906" w:h="16838"/>
      <w:pgMar w:top="1440" w:right="1106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592"/>
    <w:multiLevelType w:val="hybridMultilevel"/>
    <w:tmpl w:val="8910CBB8"/>
    <w:lvl w:ilvl="0" w:tplc="F86270E4">
      <w:start w:val="1"/>
      <w:numFmt w:val="ideographDigital"/>
      <w:lvlText w:val="(%1)"/>
      <w:lvlJc w:val="left"/>
      <w:pPr>
        <w:ind w:left="48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401403"/>
    <w:multiLevelType w:val="hybridMultilevel"/>
    <w:tmpl w:val="FB5470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BC"/>
    <w:rsid w:val="00223E4E"/>
    <w:rsid w:val="0024737C"/>
    <w:rsid w:val="003055BC"/>
    <w:rsid w:val="004337D6"/>
    <w:rsid w:val="006277B5"/>
    <w:rsid w:val="00792F71"/>
    <w:rsid w:val="009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A8C6"/>
  <w15:chartTrackingRefBased/>
  <w15:docId w15:val="{22B8AD19-9D43-473E-A4F7-B318529F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5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aliases w:val="卑南壹"/>
    <w:basedOn w:val="a"/>
    <w:link w:val="ListParagraphChar"/>
    <w:rsid w:val="003055BC"/>
    <w:pPr>
      <w:widowControl/>
      <w:spacing w:line="440" w:lineRule="exact"/>
      <w:ind w:leftChars="200" w:left="480"/>
    </w:pPr>
    <w:rPr>
      <w:rFonts w:ascii="Calibri" w:eastAsia="標楷體" w:hAnsi="Calibri"/>
      <w:kern w:val="0"/>
      <w:sz w:val="32"/>
      <w:szCs w:val="20"/>
    </w:rPr>
  </w:style>
  <w:style w:type="character" w:customStyle="1" w:styleId="ListParagraphChar">
    <w:name w:val="List Paragraph Char"/>
    <w:aliases w:val="卑南壹 Char"/>
    <w:link w:val="ListParagraph"/>
    <w:locked/>
    <w:rsid w:val="003055BC"/>
    <w:rPr>
      <w:rFonts w:ascii="Calibri" w:eastAsia="標楷體" w:hAnsi="Calibri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李昱諍</dc:creator>
  <cp:keywords/>
  <dc:description/>
  <cp:lastModifiedBy>李昱諍</cp:lastModifiedBy>
  <cp:revision>1</cp:revision>
  <dcterms:created xsi:type="dcterms:W3CDTF">2021-10-07T07:40:00Z</dcterms:created>
  <dcterms:modified xsi:type="dcterms:W3CDTF">2021-10-07T07:41:00Z</dcterms:modified>
</cp:coreProperties>
</file>