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6"/>
        <w:gridCol w:w="6789"/>
      </w:tblGrid>
      <w:tr w:rsidR="00A56F6E" w:rsidRPr="00A123B1" w:rsidTr="00B860F5">
        <w:trPr>
          <w:trHeight w:val="1125"/>
        </w:trPr>
        <w:tc>
          <w:tcPr>
            <w:tcW w:w="1566" w:type="dxa"/>
          </w:tcPr>
          <w:p w:rsidR="00A56F6E" w:rsidRPr="007953F9" w:rsidRDefault="00A56F6E" w:rsidP="00B860F5">
            <w:pPr>
              <w:spacing w:line="360" w:lineRule="auto"/>
              <w:jc w:val="both"/>
              <w:rPr>
                <w:rFonts w:ascii="time" w:eastAsia="標楷體" w:hAnsi="time"/>
              </w:rPr>
            </w:pPr>
            <w:bookmarkStart w:id="0" w:name="_GoBack"/>
            <w:bookmarkEnd w:id="0"/>
            <w:r>
              <w:rPr>
                <w:rFonts w:ascii="標楷體" w:hAnsi="標楷體"/>
                <w:noProof/>
                <w:sz w:val="52"/>
                <w:szCs w:val="52"/>
              </w:rPr>
              <w:drawing>
                <wp:inline distT="0" distB="0" distL="0" distR="0" wp14:anchorId="27AF2C7D" wp14:editId="064A8617">
                  <wp:extent cx="523875" cy="523875"/>
                  <wp:effectExtent l="0" t="0" r="9525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框 1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9" w:type="dxa"/>
          </w:tcPr>
          <w:p w:rsidR="00A56F6E" w:rsidRPr="00740EE0" w:rsidRDefault="00A56F6E" w:rsidP="00B860F5">
            <w:pPr>
              <w:jc w:val="center"/>
              <w:rPr>
                <w:rFonts w:ascii="time" w:eastAsia="標楷體" w:hAnsi="time"/>
                <w:b/>
                <w:sz w:val="72"/>
                <w:szCs w:val="72"/>
              </w:rPr>
            </w:pPr>
            <w:r w:rsidRPr="00740EE0">
              <w:rPr>
                <w:rFonts w:ascii="time" w:eastAsia="標楷體" w:hAnsi="time" w:hint="eastAsia"/>
                <w:b/>
                <w:sz w:val="72"/>
                <w:szCs w:val="72"/>
              </w:rPr>
              <w:t>雲林縣環境保護</w:t>
            </w:r>
            <w:r>
              <w:rPr>
                <w:rFonts w:ascii="time" w:eastAsia="標楷體" w:hAnsi="time" w:hint="eastAsia"/>
                <w:b/>
                <w:sz w:val="72"/>
                <w:szCs w:val="72"/>
              </w:rPr>
              <w:t>局</w:t>
            </w:r>
          </w:p>
          <w:p w:rsidR="00A56F6E" w:rsidRPr="00A123B1" w:rsidRDefault="00A56F6E" w:rsidP="00B860F5">
            <w:pPr>
              <w:jc w:val="center"/>
              <w:rPr>
                <w:rFonts w:ascii="time" w:eastAsia="標楷體" w:hAnsi="time"/>
                <w:b/>
                <w:sz w:val="48"/>
                <w:szCs w:val="48"/>
              </w:rPr>
            </w:pPr>
            <w:r w:rsidRPr="00A123B1">
              <w:rPr>
                <w:rFonts w:ascii="time" w:eastAsia="標楷體" w:hAnsi="time"/>
                <w:b/>
                <w:sz w:val="48"/>
                <w:szCs w:val="48"/>
              </w:rPr>
              <w:t>Environmental Protection Bureau,Yunlin County</w:t>
            </w:r>
          </w:p>
          <w:p w:rsidR="00A56F6E" w:rsidRPr="00A123B1" w:rsidRDefault="00A56F6E" w:rsidP="00B860F5">
            <w:pPr>
              <w:rPr>
                <w:sz w:val="48"/>
                <w:szCs w:val="48"/>
              </w:rPr>
            </w:pPr>
          </w:p>
        </w:tc>
      </w:tr>
    </w:tbl>
    <w:p w:rsidR="00A56F6E" w:rsidRDefault="00A56F6E" w:rsidP="00A56F6E">
      <w:pPr>
        <w:jc w:val="center"/>
        <w:rPr>
          <w:rFonts w:ascii="Times New Roman" w:eastAsia="標楷體" w:hAnsi="Times New Roman"/>
          <w:sz w:val="72"/>
          <w:szCs w:val="72"/>
        </w:rPr>
      </w:pPr>
    </w:p>
    <w:p w:rsidR="00604A11" w:rsidRDefault="00604A11" w:rsidP="00604A11">
      <w:pPr>
        <w:jc w:val="center"/>
        <w:rPr>
          <w:rFonts w:ascii="Times New Roman" w:eastAsia="標楷體" w:hAnsi="Times New Roman"/>
          <w:sz w:val="72"/>
          <w:szCs w:val="72"/>
        </w:rPr>
      </w:pPr>
      <w:r w:rsidRPr="008A1473">
        <w:rPr>
          <w:rFonts w:ascii="Times New Roman" w:eastAsia="標楷體" w:hAnsi="Times New Roman" w:hint="eastAsia"/>
          <w:sz w:val="72"/>
          <w:szCs w:val="72"/>
        </w:rPr>
        <w:t>育嬰假</w:t>
      </w:r>
      <w:r>
        <w:rPr>
          <w:rFonts w:ascii="Times New Roman" w:eastAsia="標楷體" w:hAnsi="Times New Roman" w:hint="eastAsia"/>
          <w:sz w:val="72"/>
          <w:szCs w:val="72"/>
        </w:rPr>
        <w:t>申請</w:t>
      </w:r>
      <w:r w:rsidRPr="008A1473">
        <w:rPr>
          <w:rFonts w:ascii="Times New Roman" w:eastAsia="標楷體" w:hAnsi="Times New Roman" w:hint="eastAsia"/>
          <w:sz w:val="72"/>
          <w:szCs w:val="72"/>
        </w:rPr>
        <w:t>概況</w:t>
      </w:r>
      <w:r w:rsidR="00FE4D7C">
        <w:rPr>
          <w:rFonts w:ascii="Times New Roman" w:eastAsia="標楷體" w:hAnsi="Times New Roman" w:hint="eastAsia"/>
          <w:sz w:val="72"/>
          <w:szCs w:val="72"/>
        </w:rPr>
        <w:t>分析</w:t>
      </w:r>
    </w:p>
    <w:p w:rsidR="008A1473" w:rsidRDefault="008A1473" w:rsidP="00444D0D">
      <w:pPr>
        <w:rPr>
          <w:rFonts w:ascii="Times New Roman" w:eastAsia="標楷體" w:hAnsi="Times New Roman"/>
          <w:sz w:val="72"/>
          <w:szCs w:val="72"/>
        </w:rPr>
      </w:pPr>
    </w:p>
    <w:p w:rsidR="00604A11" w:rsidRDefault="00604A11" w:rsidP="00A56F6E">
      <w:pPr>
        <w:jc w:val="center"/>
        <w:rPr>
          <w:rFonts w:ascii="Times New Roman" w:eastAsia="標楷體" w:hAnsi="Times New Roman"/>
          <w:sz w:val="72"/>
          <w:szCs w:val="72"/>
        </w:rPr>
      </w:pPr>
    </w:p>
    <w:p w:rsidR="00A56F6E" w:rsidRDefault="00A56F6E" w:rsidP="00A56F6E">
      <w:pPr>
        <w:jc w:val="center"/>
        <w:rPr>
          <w:rFonts w:ascii="Times New Roman" w:eastAsia="標楷體" w:hAnsi="Times New Roman"/>
          <w:sz w:val="72"/>
          <w:szCs w:val="72"/>
        </w:rPr>
      </w:pPr>
      <w:r w:rsidRPr="00A56F6E">
        <w:rPr>
          <w:rFonts w:ascii="Times New Roman" w:eastAsia="標楷體" w:hAnsi="Times New Roman" w:hint="eastAsia"/>
          <w:sz w:val="72"/>
          <w:szCs w:val="72"/>
        </w:rPr>
        <w:t>108</w:t>
      </w:r>
      <w:r w:rsidRPr="00A56F6E">
        <w:rPr>
          <w:rFonts w:ascii="Times New Roman" w:eastAsia="標楷體" w:hAnsi="Times New Roman" w:hint="eastAsia"/>
          <w:sz w:val="72"/>
          <w:szCs w:val="72"/>
        </w:rPr>
        <w:t>年性別統計及性別分析</w:t>
      </w:r>
    </w:p>
    <w:p w:rsidR="00A56F6E" w:rsidRDefault="00A56F6E" w:rsidP="00A56F6E">
      <w:pPr>
        <w:jc w:val="center"/>
        <w:rPr>
          <w:rFonts w:ascii="Times New Roman" w:eastAsia="標楷體" w:hAnsi="Times New Roman"/>
          <w:sz w:val="72"/>
          <w:szCs w:val="72"/>
        </w:rPr>
      </w:pPr>
    </w:p>
    <w:p w:rsidR="00A56F6E" w:rsidRDefault="00A56F6E" w:rsidP="00604A11">
      <w:pPr>
        <w:rPr>
          <w:rFonts w:ascii="Times New Roman" w:eastAsia="標楷體" w:hAnsi="Times New Roman"/>
          <w:sz w:val="72"/>
          <w:szCs w:val="72"/>
        </w:rPr>
      </w:pPr>
    </w:p>
    <w:p w:rsidR="00A56F6E" w:rsidRDefault="00A56F6E" w:rsidP="00A56F6E">
      <w:pPr>
        <w:jc w:val="center"/>
        <w:rPr>
          <w:rFonts w:ascii="Times New Roman" w:eastAsia="標楷體" w:hAnsi="Times New Roman"/>
          <w:sz w:val="72"/>
          <w:szCs w:val="72"/>
        </w:rPr>
      </w:pPr>
    </w:p>
    <w:p w:rsidR="00604A11" w:rsidRPr="00604A11" w:rsidRDefault="00604A11" w:rsidP="00A56F6E">
      <w:pPr>
        <w:jc w:val="center"/>
        <w:rPr>
          <w:rFonts w:ascii="Times New Roman" w:eastAsia="標楷體" w:hAnsi="Times New Roman"/>
          <w:sz w:val="72"/>
          <w:szCs w:val="72"/>
        </w:rPr>
      </w:pPr>
    </w:p>
    <w:p w:rsidR="00A56F6E" w:rsidRDefault="00A56F6E" w:rsidP="00A56F6E">
      <w:pPr>
        <w:jc w:val="center"/>
        <w:rPr>
          <w:rFonts w:ascii="Times New Roman" w:eastAsia="標楷體" w:hAnsi="Times New Roman"/>
          <w:sz w:val="72"/>
          <w:szCs w:val="72"/>
        </w:rPr>
      </w:pPr>
      <w:r>
        <w:rPr>
          <w:rFonts w:ascii="Times New Roman" w:eastAsia="標楷體" w:hAnsi="Times New Roman" w:hint="eastAsia"/>
          <w:sz w:val="72"/>
          <w:szCs w:val="72"/>
        </w:rPr>
        <w:t>中華民國</w:t>
      </w:r>
      <w:r>
        <w:rPr>
          <w:rFonts w:ascii="Times New Roman" w:eastAsia="標楷體" w:hAnsi="Times New Roman" w:hint="eastAsia"/>
          <w:sz w:val="72"/>
          <w:szCs w:val="72"/>
        </w:rPr>
        <w:t>108</w:t>
      </w:r>
      <w:r>
        <w:rPr>
          <w:rFonts w:ascii="Times New Roman" w:eastAsia="標楷體" w:hAnsi="Times New Roman" w:hint="eastAsia"/>
          <w:sz w:val="72"/>
          <w:szCs w:val="72"/>
        </w:rPr>
        <w:t>年</w:t>
      </w:r>
      <w:r>
        <w:rPr>
          <w:rFonts w:ascii="Times New Roman" w:eastAsia="標楷體" w:hAnsi="Times New Roman" w:hint="eastAsia"/>
          <w:sz w:val="72"/>
          <w:szCs w:val="72"/>
        </w:rPr>
        <w:t>12</w:t>
      </w:r>
      <w:r>
        <w:rPr>
          <w:rFonts w:ascii="Times New Roman" w:eastAsia="標楷體" w:hAnsi="Times New Roman" w:hint="eastAsia"/>
          <w:sz w:val="72"/>
          <w:szCs w:val="72"/>
        </w:rPr>
        <w:t>月</w:t>
      </w:r>
    </w:p>
    <w:p w:rsidR="00A56F6E" w:rsidRDefault="00A56F6E">
      <w:pPr>
        <w:widowControl/>
        <w:rPr>
          <w:rFonts w:ascii="Times New Roman" w:eastAsia="標楷體" w:hAnsi="Times New Roman"/>
          <w:szCs w:val="24"/>
        </w:rPr>
      </w:pPr>
    </w:p>
    <w:p w:rsidR="00FE39EA" w:rsidRDefault="008F3590" w:rsidP="00A07122">
      <w:pPr>
        <w:widowControl/>
        <w:ind w:firstLine="480"/>
        <w:jc w:val="both"/>
        <w:rPr>
          <w:rFonts w:ascii="Times New Roman" w:eastAsia="標楷體" w:hAnsi="Times New Roman"/>
          <w:sz w:val="28"/>
          <w:szCs w:val="28"/>
        </w:rPr>
      </w:pPr>
      <w:r w:rsidRPr="008F3590">
        <w:rPr>
          <w:rFonts w:ascii="Times New Roman" w:eastAsia="標楷體" w:hAnsi="Times New Roman" w:hint="eastAsia"/>
          <w:sz w:val="28"/>
          <w:szCs w:val="28"/>
        </w:rPr>
        <w:lastRenderedPageBreak/>
        <w:t>傳統的性別分工讓身為「主要照顧者」的女性取得教育及就業機會少之又少。然而隨著後工業社會以及全球化的來臨，產業及經濟結構發生變化，女性擁有高學歷及高技能的比例</w:t>
      </w:r>
      <w:r w:rsidR="00A279C2">
        <w:rPr>
          <w:rFonts w:ascii="Times New Roman" w:eastAsia="標楷體" w:hAnsi="Times New Roman" w:hint="eastAsia"/>
          <w:sz w:val="28"/>
          <w:szCs w:val="28"/>
        </w:rPr>
        <w:t>也逐漸增加，更成為了「養家者」，而此衝擊了傳統男性養家模式</w:t>
      </w:r>
      <w:r w:rsidRPr="008F3590">
        <w:rPr>
          <w:rFonts w:ascii="Times New Roman" w:eastAsia="標楷體" w:hAnsi="Times New Roman" w:hint="eastAsia"/>
          <w:sz w:val="28"/>
          <w:szCs w:val="28"/>
        </w:rPr>
        <w:t>。男性則皆維持高度就業的養家者形象，</w:t>
      </w:r>
      <w:r w:rsidR="00A279C2">
        <w:rPr>
          <w:rFonts w:ascii="Times New Roman" w:eastAsia="標楷體" w:hAnsi="Times New Roman" w:hint="eastAsia"/>
          <w:sz w:val="28"/>
          <w:szCs w:val="28"/>
        </w:rPr>
        <w:t>但隨著台灣性別平等意識抬頭下男性</w:t>
      </w:r>
      <w:r w:rsidRPr="008F3590">
        <w:rPr>
          <w:rFonts w:ascii="Times New Roman" w:eastAsia="標楷體" w:hAnsi="Times New Roman" w:hint="eastAsia"/>
          <w:sz w:val="28"/>
          <w:szCs w:val="28"/>
        </w:rPr>
        <w:t>也開始被期待加入幼兒照顧的行列。</w:t>
      </w:r>
    </w:p>
    <w:p w:rsidR="00F0319D" w:rsidRDefault="00FE39EA" w:rsidP="00F62D9C">
      <w:pPr>
        <w:widowControl/>
        <w:ind w:firstLine="48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隨近幾年少子化問題日益嚴重，</w:t>
      </w:r>
      <w:r w:rsidR="00F62D9C">
        <w:rPr>
          <w:rFonts w:ascii="Times New Roman" w:eastAsia="標楷體" w:hAnsi="Times New Roman" w:hint="eastAsia"/>
          <w:sz w:val="28"/>
          <w:szCs w:val="28"/>
        </w:rPr>
        <w:t>為鼓勵生育及保障婦女工作的權益，本局遵循「公務人員留職停薪辦法」進行辦理，並持續遵照</w:t>
      </w:r>
      <w:r w:rsidR="008A1473">
        <w:rPr>
          <w:rFonts w:ascii="Times New Roman" w:eastAsia="標楷體" w:hAnsi="Times New Roman" w:hint="eastAsia"/>
          <w:sz w:val="28"/>
          <w:szCs w:val="28"/>
        </w:rPr>
        <w:t>國家對性別、少子</w:t>
      </w:r>
      <w:r>
        <w:rPr>
          <w:rFonts w:ascii="Times New Roman" w:eastAsia="標楷體" w:hAnsi="Times New Roman" w:hint="eastAsia"/>
          <w:sz w:val="28"/>
          <w:szCs w:val="28"/>
        </w:rPr>
        <w:t>化政策進行推動，</w:t>
      </w:r>
      <w:r w:rsidR="00444D0D">
        <w:rPr>
          <w:rFonts w:ascii="Times New Roman" w:eastAsia="標楷體" w:hAnsi="Times New Roman" w:hint="eastAsia"/>
          <w:sz w:val="28"/>
          <w:szCs w:val="28"/>
        </w:rPr>
        <w:t>表</w:t>
      </w:r>
      <w:r w:rsidR="00444D0D">
        <w:rPr>
          <w:rFonts w:ascii="Times New Roman" w:eastAsia="標楷體" w:hAnsi="Times New Roman" w:hint="eastAsia"/>
          <w:sz w:val="28"/>
          <w:szCs w:val="28"/>
        </w:rPr>
        <w:t>1</w:t>
      </w:r>
      <w:r w:rsidR="00444D0D">
        <w:rPr>
          <w:rFonts w:ascii="Times New Roman" w:eastAsia="標楷體" w:hAnsi="Times New Roman" w:hint="eastAsia"/>
          <w:sz w:val="28"/>
          <w:szCs w:val="28"/>
        </w:rPr>
        <w:t>為本局</w:t>
      </w:r>
      <w:r>
        <w:rPr>
          <w:rFonts w:ascii="Times New Roman" w:eastAsia="標楷體" w:hAnsi="Times New Roman" w:hint="eastAsia"/>
          <w:sz w:val="28"/>
          <w:szCs w:val="28"/>
        </w:rPr>
        <w:t>105</w:t>
      </w:r>
      <w:r>
        <w:rPr>
          <w:rFonts w:ascii="Times New Roman" w:eastAsia="標楷體" w:hAnsi="Times New Roman" w:hint="eastAsia"/>
          <w:sz w:val="28"/>
          <w:szCs w:val="28"/>
        </w:rPr>
        <w:t>年至</w:t>
      </w:r>
      <w:r>
        <w:rPr>
          <w:rFonts w:ascii="Times New Roman" w:eastAsia="標楷體" w:hAnsi="Times New Roman" w:hint="eastAsia"/>
          <w:sz w:val="28"/>
          <w:szCs w:val="28"/>
        </w:rPr>
        <w:t>108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r w:rsidR="00444D0D">
        <w:rPr>
          <w:rFonts w:ascii="Times New Roman" w:eastAsia="標楷體" w:hAnsi="Times New Roman" w:hint="eastAsia"/>
          <w:sz w:val="28"/>
          <w:szCs w:val="28"/>
        </w:rPr>
        <w:t>同仁申請育嬰假狀況，在</w:t>
      </w:r>
      <w:r>
        <w:rPr>
          <w:rFonts w:ascii="Times New Roman" w:eastAsia="標楷體" w:hAnsi="Times New Roman" w:hint="eastAsia"/>
          <w:sz w:val="28"/>
          <w:szCs w:val="28"/>
        </w:rPr>
        <w:t>近</w:t>
      </w:r>
      <w:r>
        <w:rPr>
          <w:rFonts w:ascii="Times New Roman" w:eastAsia="標楷體" w:hAnsi="Times New Roman" w:hint="eastAsia"/>
          <w:sz w:val="28"/>
          <w:szCs w:val="28"/>
        </w:rPr>
        <w:t>4</w:t>
      </w:r>
      <w:r>
        <w:rPr>
          <w:rFonts w:ascii="Times New Roman" w:eastAsia="標楷體" w:hAnsi="Times New Roman" w:hint="eastAsia"/>
          <w:sz w:val="28"/>
          <w:szCs w:val="28"/>
        </w:rPr>
        <w:t>年本局共有</w:t>
      </w:r>
      <w:r>
        <w:rPr>
          <w:rFonts w:ascii="Times New Roman" w:eastAsia="標楷體" w:hAnsi="Times New Roman" w:hint="eastAsia"/>
          <w:sz w:val="28"/>
          <w:szCs w:val="28"/>
        </w:rPr>
        <w:t>5</w:t>
      </w:r>
      <w:r>
        <w:rPr>
          <w:rFonts w:ascii="Times New Roman" w:eastAsia="標楷體" w:hAnsi="Times New Roman" w:hint="eastAsia"/>
          <w:sz w:val="28"/>
          <w:szCs w:val="28"/>
        </w:rPr>
        <w:t>人申請育嬰假其中有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 w:rsidR="00F62D9C">
        <w:rPr>
          <w:rFonts w:ascii="Times New Roman" w:eastAsia="標楷體" w:hAnsi="Times New Roman" w:hint="eastAsia"/>
          <w:sz w:val="28"/>
          <w:szCs w:val="28"/>
        </w:rPr>
        <w:t>名</w:t>
      </w:r>
      <w:r w:rsidR="008A1473">
        <w:rPr>
          <w:rFonts w:ascii="Times New Roman" w:eastAsia="標楷體" w:hAnsi="Times New Roman" w:hint="eastAsia"/>
          <w:sz w:val="28"/>
          <w:szCs w:val="28"/>
        </w:rPr>
        <w:t>為</w:t>
      </w:r>
      <w:r w:rsidR="00F62D9C">
        <w:rPr>
          <w:rFonts w:ascii="Times New Roman" w:eastAsia="標楷體" w:hAnsi="Times New Roman" w:hint="eastAsia"/>
          <w:sz w:val="28"/>
          <w:szCs w:val="28"/>
        </w:rPr>
        <w:t>男性職員，在過去申請育嬰假的員工中，多數為女性居多，</w:t>
      </w:r>
      <w:r>
        <w:rPr>
          <w:rFonts w:ascii="Times New Roman" w:eastAsia="標楷體" w:hAnsi="Times New Roman" w:hint="eastAsia"/>
          <w:sz w:val="28"/>
          <w:szCs w:val="28"/>
        </w:rPr>
        <w:t>在</w:t>
      </w:r>
      <w:r>
        <w:rPr>
          <w:rFonts w:ascii="Times New Roman" w:eastAsia="標楷體" w:hAnsi="Times New Roman" w:hint="eastAsia"/>
          <w:sz w:val="28"/>
          <w:szCs w:val="28"/>
        </w:rPr>
        <w:t>108</w:t>
      </w:r>
      <w:r w:rsidR="009506CC">
        <w:rPr>
          <w:rFonts w:ascii="Times New Roman" w:eastAsia="標楷體" w:hAnsi="Times New Roman" w:hint="eastAsia"/>
          <w:sz w:val="28"/>
          <w:szCs w:val="28"/>
        </w:rPr>
        <w:t>年本局</w:t>
      </w:r>
      <w:r>
        <w:rPr>
          <w:rFonts w:ascii="Times New Roman" w:eastAsia="標楷體" w:hAnsi="Times New Roman" w:hint="eastAsia"/>
          <w:sz w:val="28"/>
          <w:szCs w:val="28"/>
        </w:rPr>
        <w:t>有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位男性申請育嬰假，</w:t>
      </w:r>
      <w:r w:rsidR="009506CC">
        <w:rPr>
          <w:rFonts w:ascii="Times New Roman" w:eastAsia="標楷體" w:hAnsi="Times New Roman" w:hint="eastAsia"/>
          <w:sz w:val="28"/>
          <w:szCs w:val="28"/>
        </w:rPr>
        <w:t>這樣的現象</w:t>
      </w:r>
      <w:r w:rsidR="00A259C3">
        <w:rPr>
          <w:rFonts w:ascii="Times New Roman" w:eastAsia="標楷體" w:hAnsi="Times New Roman" w:hint="eastAsia"/>
          <w:sz w:val="28"/>
          <w:szCs w:val="28"/>
        </w:rPr>
        <w:t>代表大家漸漸的不再</w:t>
      </w:r>
      <w:r w:rsidR="00A07122">
        <w:rPr>
          <w:rFonts w:ascii="Times New Roman" w:eastAsia="標楷體" w:hAnsi="Times New Roman" w:hint="eastAsia"/>
          <w:sz w:val="28"/>
          <w:szCs w:val="28"/>
        </w:rPr>
        <w:t>把育兒照護視為女性的責任，同時也能讓男性有同等的育嬰照顧假，使男性有時間陪伴小孩。</w:t>
      </w:r>
    </w:p>
    <w:p w:rsidR="00444D0D" w:rsidRDefault="00444D0D" w:rsidP="00444D0D">
      <w:pPr>
        <w:widowControl/>
        <w:ind w:firstLine="480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表</w:t>
      </w:r>
      <w:r>
        <w:rPr>
          <w:rFonts w:ascii="Times New Roman" w:eastAsia="標楷體" w:hAnsi="Times New Roman" w:hint="eastAsia"/>
          <w:sz w:val="28"/>
          <w:szCs w:val="28"/>
        </w:rPr>
        <w:t xml:space="preserve">1 </w:t>
      </w:r>
      <w:r>
        <w:rPr>
          <w:rFonts w:ascii="Times New Roman" w:eastAsia="標楷體" w:hAnsi="Times New Roman" w:hint="eastAsia"/>
          <w:sz w:val="28"/>
          <w:szCs w:val="28"/>
        </w:rPr>
        <w:t>雲林縣環境保護局申請育嬰假概況表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7648"/>
      </w:tblGrid>
      <w:tr w:rsidR="00885739" w:rsidTr="00444D0D">
        <w:trPr>
          <w:trHeight w:val="419"/>
        </w:trPr>
        <w:tc>
          <w:tcPr>
            <w:tcW w:w="988" w:type="dxa"/>
            <w:vAlign w:val="center"/>
          </w:tcPr>
          <w:p w:rsidR="00885739" w:rsidRDefault="00885739" w:rsidP="00885739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年度</w:t>
            </w:r>
          </w:p>
        </w:tc>
        <w:tc>
          <w:tcPr>
            <w:tcW w:w="992" w:type="dxa"/>
            <w:vAlign w:val="center"/>
          </w:tcPr>
          <w:p w:rsidR="00885739" w:rsidRDefault="00885739" w:rsidP="00885739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性別</w:t>
            </w:r>
          </w:p>
        </w:tc>
        <w:tc>
          <w:tcPr>
            <w:tcW w:w="7648" w:type="dxa"/>
            <w:vAlign w:val="center"/>
          </w:tcPr>
          <w:p w:rsidR="00885739" w:rsidRDefault="00885739" w:rsidP="00444D0D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申請育嬰假時間</w:t>
            </w:r>
          </w:p>
        </w:tc>
      </w:tr>
      <w:tr w:rsidR="00885739" w:rsidTr="00444D0D">
        <w:tc>
          <w:tcPr>
            <w:tcW w:w="988" w:type="dxa"/>
            <w:vAlign w:val="center"/>
          </w:tcPr>
          <w:p w:rsidR="00885739" w:rsidRDefault="00885739" w:rsidP="00885739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105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</w:p>
        </w:tc>
        <w:tc>
          <w:tcPr>
            <w:tcW w:w="992" w:type="dxa"/>
            <w:vAlign w:val="center"/>
          </w:tcPr>
          <w:p w:rsidR="00885739" w:rsidRDefault="00885739" w:rsidP="00885739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女性</w:t>
            </w:r>
          </w:p>
        </w:tc>
        <w:tc>
          <w:tcPr>
            <w:tcW w:w="7648" w:type="dxa"/>
            <w:vAlign w:val="center"/>
          </w:tcPr>
          <w:p w:rsidR="00885739" w:rsidRDefault="00444D0D" w:rsidP="00885739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105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02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月至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106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02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</w:p>
        </w:tc>
      </w:tr>
      <w:tr w:rsidR="00885739" w:rsidTr="00444D0D">
        <w:tc>
          <w:tcPr>
            <w:tcW w:w="988" w:type="dxa"/>
            <w:vAlign w:val="center"/>
          </w:tcPr>
          <w:p w:rsidR="00885739" w:rsidRDefault="00885739" w:rsidP="00885739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106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</w:p>
        </w:tc>
        <w:tc>
          <w:tcPr>
            <w:tcW w:w="992" w:type="dxa"/>
            <w:vAlign w:val="center"/>
          </w:tcPr>
          <w:p w:rsidR="00885739" w:rsidRDefault="00885739" w:rsidP="00885739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女性</w:t>
            </w:r>
          </w:p>
        </w:tc>
        <w:tc>
          <w:tcPr>
            <w:tcW w:w="7648" w:type="dxa"/>
            <w:vAlign w:val="center"/>
          </w:tcPr>
          <w:p w:rsidR="00885739" w:rsidRDefault="00444D0D" w:rsidP="00885739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106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月至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107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</w:p>
        </w:tc>
      </w:tr>
      <w:tr w:rsidR="00885739" w:rsidTr="00444D0D">
        <w:tc>
          <w:tcPr>
            <w:tcW w:w="988" w:type="dxa"/>
            <w:vAlign w:val="center"/>
          </w:tcPr>
          <w:p w:rsidR="00885739" w:rsidRDefault="00885739" w:rsidP="00885739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106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</w:p>
        </w:tc>
        <w:tc>
          <w:tcPr>
            <w:tcW w:w="992" w:type="dxa"/>
            <w:vAlign w:val="center"/>
          </w:tcPr>
          <w:p w:rsidR="00885739" w:rsidRDefault="00885739" w:rsidP="00885739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女性</w:t>
            </w:r>
          </w:p>
        </w:tc>
        <w:tc>
          <w:tcPr>
            <w:tcW w:w="7648" w:type="dxa"/>
            <w:vAlign w:val="center"/>
          </w:tcPr>
          <w:p w:rsidR="00885739" w:rsidRDefault="00444D0D" w:rsidP="00885739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106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03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月至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106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06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</w:p>
        </w:tc>
      </w:tr>
      <w:tr w:rsidR="00885739" w:rsidTr="00444D0D">
        <w:tc>
          <w:tcPr>
            <w:tcW w:w="988" w:type="dxa"/>
            <w:vAlign w:val="center"/>
          </w:tcPr>
          <w:p w:rsidR="00885739" w:rsidRDefault="00885739" w:rsidP="00885739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107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</w:p>
        </w:tc>
        <w:tc>
          <w:tcPr>
            <w:tcW w:w="992" w:type="dxa"/>
            <w:vAlign w:val="center"/>
          </w:tcPr>
          <w:p w:rsidR="00885739" w:rsidRDefault="00885739" w:rsidP="00885739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男性</w:t>
            </w:r>
          </w:p>
        </w:tc>
        <w:tc>
          <w:tcPr>
            <w:tcW w:w="7648" w:type="dxa"/>
            <w:vAlign w:val="center"/>
          </w:tcPr>
          <w:p w:rsidR="00885739" w:rsidRDefault="00444D0D" w:rsidP="00885739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107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08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月至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108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02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</w:p>
        </w:tc>
      </w:tr>
      <w:tr w:rsidR="00444D0D" w:rsidTr="00444D0D">
        <w:tc>
          <w:tcPr>
            <w:tcW w:w="988" w:type="dxa"/>
            <w:vAlign w:val="center"/>
          </w:tcPr>
          <w:p w:rsidR="00444D0D" w:rsidRDefault="00444D0D" w:rsidP="00885739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108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</w:p>
        </w:tc>
        <w:tc>
          <w:tcPr>
            <w:tcW w:w="992" w:type="dxa"/>
            <w:vAlign w:val="center"/>
          </w:tcPr>
          <w:p w:rsidR="00444D0D" w:rsidRDefault="00444D0D" w:rsidP="00885739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女性</w:t>
            </w:r>
          </w:p>
        </w:tc>
        <w:tc>
          <w:tcPr>
            <w:tcW w:w="7648" w:type="dxa"/>
            <w:vAlign w:val="center"/>
          </w:tcPr>
          <w:p w:rsidR="00444D0D" w:rsidRDefault="00444D0D" w:rsidP="00885739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108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06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月至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109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02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</w:p>
        </w:tc>
      </w:tr>
    </w:tbl>
    <w:p w:rsidR="00885739" w:rsidRDefault="00885739" w:rsidP="00885739">
      <w:pPr>
        <w:widowControl/>
        <w:jc w:val="both"/>
        <w:rPr>
          <w:rFonts w:ascii="Times New Roman" w:eastAsia="標楷體" w:hAnsi="Times New Roman"/>
          <w:sz w:val="28"/>
          <w:szCs w:val="28"/>
        </w:rPr>
      </w:pPr>
    </w:p>
    <w:p w:rsidR="00885739" w:rsidRDefault="00885739" w:rsidP="00885739">
      <w:pPr>
        <w:widowControl/>
        <w:jc w:val="both"/>
        <w:rPr>
          <w:rFonts w:ascii="Times New Roman" w:eastAsia="標楷體" w:hAnsi="Times New Roman"/>
          <w:sz w:val="28"/>
          <w:szCs w:val="28"/>
        </w:rPr>
      </w:pPr>
    </w:p>
    <w:p w:rsidR="00A56F6E" w:rsidRPr="00A279C2" w:rsidRDefault="00444D0D" w:rsidP="00885739">
      <w:pPr>
        <w:widowControl/>
        <w:ind w:firstLine="48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lastRenderedPageBreak/>
        <w:t>過去</w:t>
      </w:r>
      <w:r w:rsidR="00AD2580">
        <w:rPr>
          <w:rFonts w:ascii="Times New Roman" w:eastAsia="標楷體" w:hAnsi="Times New Roman" w:hint="eastAsia"/>
          <w:sz w:val="28"/>
          <w:szCs w:val="28"/>
        </w:rPr>
        <w:t>本局雖然申請育嬰假、陪產假的人數</w:t>
      </w:r>
      <w:r w:rsidR="002C105B">
        <w:rPr>
          <w:rFonts w:ascii="Times New Roman" w:eastAsia="標楷體" w:hAnsi="Times New Roman" w:hint="eastAsia"/>
          <w:sz w:val="28"/>
          <w:szCs w:val="28"/>
        </w:rPr>
        <w:t>不多，但</w:t>
      </w:r>
      <w:r w:rsidR="00FE39EA">
        <w:rPr>
          <w:rFonts w:ascii="Times New Roman" w:eastAsia="標楷體" w:hAnsi="Times New Roman" w:hint="eastAsia"/>
          <w:sz w:val="28"/>
          <w:szCs w:val="28"/>
        </w:rPr>
        <w:t>未來本局將持續主動追蹤同仁</w:t>
      </w:r>
      <w:r w:rsidR="00F62D9C">
        <w:rPr>
          <w:rFonts w:ascii="Times New Roman" w:eastAsia="標楷體" w:hAnsi="Times New Roman" w:hint="eastAsia"/>
          <w:sz w:val="28"/>
          <w:szCs w:val="28"/>
        </w:rPr>
        <w:t>請育嬰假之情況，並且向局內同仁進行宣導，</w:t>
      </w:r>
      <w:r w:rsidR="00AF6666">
        <w:rPr>
          <w:rFonts w:ascii="Times New Roman" w:eastAsia="標楷體" w:hAnsi="Times New Roman" w:hint="eastAsia"/>
          <w:sz w:val="28"/>
          <w:szCs w:val="28"/>
        </w:rPr>
        <w:t>不管是男性或女性都能了解相關訊息，藉以提倡性別平等的觀念。</w:t>
      </w:r>
    </w:p>
    <w:sectPr w:rsidR="00A56F6E" w:rsidRPr="00A279C2" w:rsidSect="00A56F6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6E"/>
    <w:rsid w:val="00115793"/>
    <w:rsid w:val="00205206"/>
    <w:rsid w:val="002C105B"/>
    <w:rsid w:val="00444D0D"/>
    <w:rsid w:val="00512423"/>
    <w:rsid w:val="00604A11"/>
    <w:rsid w:val="00885739"/>
    <w:rsid w:val="008A1473"/>
    <w:rsid w:val="008F3590"/>
    <w:rsid w:val="009506CC"/>
    <w:rsid w:val="00A04D51"/>
    <w:rsid w:val="00A07122"/>
    <w:rsid w:val="00A259C3"/>
    <w:rsid w:val="00A279C2"/>
    <w:rsid w:val="00A56F6E"/>
    <w:rsid w:val="00AD2580"/>
    <w:rsid w:val="00AF6666"/>
    <w:rsid w:val="00F0319D"/>
    <w:rsid w:val="00F62D9C"/>
    <w:rsid w:val="00FE39EA"/>
    <w:rsid w:val="00FE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E6F59-5F73-4D0F-ADC4-1FA817DC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F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4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04A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張庭瑋</dc:creator>
  <cp:keywords/>
  <dc:description/>
  <cp:lastModifiedBy>張庭瑋</cp:lastModifiedBy>
  <cp:revision>2</cp:revision>
  <cp:lastPrinted>2019-12-04T01:27:00Z</cp:lastPrinted>
  <dcterms:created xsi:type="dcterms:W3CDTF">2019-12-10T02:10:00Z</dcterms:created>
  <dcterms:modified xsi:type="dcterms:W3CDTF">2019-12-10T02:10:00Z</dcterms:modified>
</cp:coreProperties>
</file>